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64" w:rsidRPr="00A448A7" w:rsidRDefault="00E12564" w:rsidP="008E3FEB">
      <w:pPr>
        <w:pStyle w:val="1"/>
        <w:ind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A448A7">
        <w:rPr>
          <w:szCs w:val="28"/>
        </w:rPr>
        <w:t>УТВЕРЖДЕНО</w:t>
      </w:r>
    </w:p>
    <w:p w:rsidR="00E12564" w:rsidRPr="00A448A7" w:rsidRDefault="00E12564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8A7">
        <w:rPr>
          <w:sz w:val="28"/>
          <w:szCs w:val="28"/>
        </w:rPr>
        <w:t xml:space="preserve">Протокол заседания комиссии </w:t>
      </w:r>
    </w:p>
    <w:p w:rsidR="00E12564" w:rsidRPr="00A448A7" w:rsidRDefault="00E12564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8A7">
        <w:rPr>
          <w:sz w:val="28"/>
          <w:szCs w:val="28"/>
        </w:rPr>
        <w:t>по противодействию коррупции</w:t>
      </w:r>
    </w:p>
    <w:p w:rsidR="00E12564" w:rsidRPr="00A448A7" w:rsidRDefault="00E12564" w:rsidP="008E3FEB">
      <w:pPr>
        <w:pStyle w:val="2"/>
        <w:ind w:left="0"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A448A7">
        <w:rPr>
          <w:szCs w:val="28"/>
        </w:rPr>
        <w:t xml:space="preserve">от </w:t>
      </w:r>
      <w:r w:rsidR="00CF15E8">
        <w:rPr>
          <w:szCs w:val="28"/>
        </w:rPr>
        <w:t>28.12.2022</w:t>
      </w:r>
      <w:r>
        <w:rPr>
          <w:szCs w:val="28"/>
        </w:rPr>
        <w:t xml:space="preserve"> № </w:t>
      </w:r>
      <w:r w:rsidR="00CF15E8">
        <w:rPr>
          <w:szCs w:val="28"/>
        </w:rPr>
        <w:t>7</w:t>
      </w:r>
    </w:p>
    <w:p w:rsidR="00E12564" w:rsidRDefault="00E12564" w:rsidP="008E3FEB">
      <w:pPr>
        <w:rPr>
          <w:sz w:val="28"/>
        </w:rPr>
      </w:pPr>
    </w:p>
    <w:p w:rsidR="00E12564" w:rsidRDefault="00E12564" w:rsidP="008E3FEB">
      <w:pPr>
        <w:jc w:val="center"/>
        <w:rPr>
          <w:sz w:val="28"/>
        </w:rPr>
      </w:pPr>
      <w:r>
        <w:rPr>
          <w:sz w:val="28"/>
        </w:rPr>
        <w:t>ПЛАН</w:t>
      </w:r>
    </w:p>
    <w:p w:rsidR="00E12564" w:rsidRDefault="00E12564" w:rsidP="008E3FEB">
      <w:pPr>
        <w:pStyle w:val="2"/>
        <w:ind w:left="0"/>
        <w:jc w:val="center"/>
        <w:rPr>
          <w:szCs w:val="28"/>
        </w:rPr>
      </w:pPr>
      <w:r>
        <w:t xml:space="preserve">работы комиссии по противодействию коррупции </w:t>
      </w:r>
      <w:r w:rsidRPr="002A76BF">
        <w:rPr>
          <w:szCs w:val="28"/>
        </w:rPr>
        <w:t>на 20</w:t>
      </w:r>
      <w:r w:rsidR="00CF15E8">
        <w:rPr>
          <w:szCs w:val="28"/>
        </w:rPr>
        <w:t>23</w:t>
      </w:r>
      <w:bookmarkStart w:id="0" w:name="_GoBack"/>
      <w:bookmarkEnd w:id="0"/>
      <w:r w:rsidRPr="002A76BF">
        <w:rPr>
          <w:szCs w:val="28"/>
        </w:rPr>
        <w:t xml:space="preserve"> год</w:t>
      </w:r>
    </w:p>
    <w:p w:rsidR="00E12564" w:rsidRDefault="00E12564" w:rsidP="008E3FEB">
      <w:pPr>
        <w:pStyle w:val="2"/>
        <w:ind w:left="0"/>
        <w:jc w:val="center"/>
        <w:rPr>
          <w:szCs w:val="28"/>
        </w:rPr>
      </w:pPr>
    </w:p>
    <w:tbl>
      <w:tblPr>
        <w:tblStyle w:val="a3"/>
        <w:tblW w:w="10042" w:type="dxa"/>
        <w:tblLook w:val="01E0" w:firstRow="1" w:lastRow="1" w:firstColumn="1" w:lastColumn="1" w:noHBand="0" w:noVBand="0"/>
      </w:tblPr>
      <w:tblGrid>
        <w:gridCol w:w="656"/>
        <w:gridCol w:w="4364"/>
        <w:gridCol w:w="2629"/>
        <w:gridCol w:w="2393"/>
      </w:tblGrid>
      <w:tr w:rsidR="00E12564" w:rsidTr="00DD32FC">
        <w:tc>
          <w:tcPr>
            <w:tcW w:w="656" w:type="dxa"/>
          </w:tcPr>
          <w:p w:rsidR="00E12564" w:rsidRPr="0020515F" w:rsidRDefault="00E12564" w:rsidP="006D03BB">
            <w:pPr>
              <w:jc w:val="center"/>
              <w:rPr>
                <w:sz w:val="28"/>
                <w:szCs w:val="28"/>
              </w:rPr>
            </w:pPr>
            <w:r w:rsidRPr="0020515F">
              <w:rPr>
                <w:sz w:val="28"/>
                <w:szCs w:val="28"/>
              </w:rPr>
              <w:t xml:space="preserve">№ </w:t>
            </w:r>
            <w:proofErr w:type="spellStart"/>
            <w:r w:rsidRPr="0020515F">
              <w:rPr>
                <w:sz w:val="28"/>
                <w:szCs w:val="28"/>
              </w:rPr>
              <w:t>п.п</w:t>
            </w:r>
            <w:proofErr w:type="spellEnd"/>
            <w:r w:rsidRPr="0020515F">
              <w:rPr>
                <w:sz w:val="28"/>
                <w:szCs w:val="28"/>
              </w:rPr>
              <w:t>.</w:t>
            </w:r>
          </w:p>
        </w:tc>
        <w:tc>
          <w:tcPr>
            <w:tcW w:w="4364" w:type="dxa"/>
          </w:tcPr>
          <w:p w:rsidR="00E12564" w:rsidRPr="0020515F" w:rsidRDefault="00E12564" w:rsidP="006D03BB">
            <w:pPr>
              <w:jc w:val="center"/>
              <w:rPr>
                <w:sz w:val="28"/>
                <w:szCs w:val="28"/>
              </w:rPr>
            </w:pPr>
            <w:r w:rsidRPr="0020515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29" w:type="dxa"/>
          </w:tcPr>
          <w:p w:rsidR="00E12564" w:rsidRDefault="00E12564" w:rsidP="006D03BB">
            <w:pPr>
              <w:jc w:val="center"/>
              <w:rPr>
                <w:sz w:val="28"/>
                <w:szCs w:val="28"/>
              </w:rPr>
            </w:pPr>
            <w:r w:rsidRPr="0020515F">
              <w:rPr>
                <w:sz w:val="28"/>
                <w:szCs w:val="28"/>
              </w:rPr>
              <w:t xml:space="preserve">Срок </w:t>
            </w:r>
          </w:p>
          <w:p w:rsidR="00E12564" w:rsidRPr="0020515F" w:rsidRDefault="00E12564" w:rsidP="006D03BB">
            <w:pPr>
              <w:jc w:val="center"/>
              <w:rPr>
                <w:sz w:val="28"/>
                <w:szCs w:val="28"/>
              </w:rPr>
            </w:pPr>
            <w:r w:rsidRPr="0020515F">
              <w:rPr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</w:tcPr>
          <w:p w:rsidR="00E12564" w:rsidRDefault="00E12564" w:rsidP="008E3FEB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Отметка об исполнении</w:t>
            </w:r>
          </w:p>
        </w:tc>
      </w:tr>
      <w:tr w:rsidR="00E12564" w:rsidTr="00DD32FC">
        <w:tc>
          <w:tcPr>
            <w:tcW w:w="656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  <w:r w:rsidRPr="00E27558">
              <w:rPr>
                <w:sz w:val="24"/>
              </w:rPr>
              <w:t>1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jc w:val="both"/>
            </w:pPr>
            <w:r w:rsidRPr="00E27558">
              <w:t>Проведение плановых заседаний комисс</w:t>
            </w:r>
            <w:r w:rsidR="0014753B">
              <w:t>ии по противодействию коррупции и обеспечение контроля за исполнением принятых решений</w:t>
            </w:r>
          </w:p>
        </w:tc>
        <w:tc>
          <w:tcPr>
            <w:tcW w:w="2629" w:type="dxa"/>
          </w:tcPr>
          <w:p w:rsidR="00E12564" w:rsidRPr="00E27558" w:rsidRDefault="006441C2" w:rsidP="006441C2">
            <w:pPr>
              <w:jc w:val="center"/>
            </w:pPr>
            <w:r>
              <w:t>н</w:t>
            </w:r>
            <w:r w:rsidR="00E12564" w:rsidRPr="00E27558">
              <w:t>е реже 1 раза в квартал</w:t>
            </w:r>
          </w:p>
        </w:tc>
        <w:tc>
          <w:tcPr>
            <w:tcW w:w="2393" w:type="dxa"/>
          </w:tcPr>
          <w:p w:rsidR="00E12564" w:rsidRDefault="00E12564" w:rsidP="00DD32FC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Протоколы:</w:t>
            </w:r>
          </w:p>
          <w:p w:rsidR="00E12564" w:rsidRDefault="00E12564" w:rsidP="00DD32FC">
            <w:pPr>
              <w:pStyle w:val="2"/>
              <w:ind w:left="0"/>
              <w:rPr>
                <w:sz w:val="24"/>
              </w:rPr>
            </w:pPr>
          </w:p>
          <w:p w:rsidR="00E12564" w:rsidRDefault="00E12564" w:rsidP="00DD32FC">
            <w:pPr>
              <w:pStyle w:val="2"/>
              <w:ind w:left="0"/>
              <w:rPr>
                <w:sz w:val="24"/>
              </w:rPr>
            </w:pPr>
          </w:p>
          <w:p w:rsidR="00E12564" w:rsidRDefault="00E12564" w:rsidP="00DD32FC">
            <w:pPr>
              <w:pStyle w:val="2"/>
              <w:ind w:left="0"/>
              <w:rPr>
                <w:sz w:val="24"/>
              </w:rPr>
            </w:pPr>
          </w:p>
          <w:p w:rsidR="00E12564" w:rsidRDefault="00E12564" w:rsidP="00DD32FC">
            <w:pPr>
              <w:pStyle w:val="2"/>
              <w:ind w:left="0"/>
              <w:rPr>
                <w:sz w:val="24"/>
              </w:rPr>
            </w:pPr>
          </w:p>
          <w:p w:rsidR="00E12564" w:rsidRDefault="00E12564" w:rsidP="00DD32FC">
            <w:pPr>
              <w:pStyle w:val="2"/>
              <w:ind w:left="0"/>
              <w:rPr>
                <w:sz w:val="24"/>
              </w:rPr>
            </w:pPr>
          </w:p>
          <w:p w:rsidR="00E12564" w:rsidRDefault="00E12564" w:rsidP="00DD32FC">
            <w:pPr>
              <w:pStyle w:val="2"/>
              <w:ind w:left="0"/>
              <w:rPr>
                <w:sz w:val="24"/>
              </w:rPr>
            </w:pPr>
          </w:p>
          <w:p w:rsidR="00E12564" w:rsidRDefault="00E12564" w:rsidP="00DD32FC">
            <w:pPr>
              <w:pStyle w:val="2"/>
              <w:ind w:left="0"/>
              <w:rPr>
                <w:sz w:val="24"/>
              </w:rPr>
            </w:pPr>
          </w:p>
          <w:p w:rsidR="00E12564" w:rsidRDefault="00E12564" w:rsidP="00DD32FC">
            <w:pPr>
              <w:pStyle w:val="2"/>
              <w:ind w:left="0"/>
              <w:rPr>
                <w:sz w:val="24"/>
              </w:rPr>
            </w:pPr>
          </w:p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14753B" w:rsidTr="00DD32FC">
        <w:tc>
          <w:tcPr>
            <w:tcW w:w="656" w:type="dxa"/>
          </w:tcPr>
          <w:p w:rsidR="0014753B" w:rsidRPr="00E27558" w:rsidRDefault="0014753B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4" w:type="dxa"/>
          </w:tcPr>
          <w:p w:rsidR="0014753B" w:rsidRPr="00E27558" w:rsidRDefault="0014753B" w:rsidP="006D03BB">
            <w:pPr>
              <w:jc w:val="both"/>
            </w:pPr>
            <w:r>
              <w:t xml:space="preserve">Проведение анализа </w:t>
            </w:r>
            <w:r w:rsidR="006441C2">
              <w:t>представляемых сведений государственными органами, осуществляющими борьбу с коррупцией, и выработка предложений по противодействию коррупции и нейтрализации рисков</w:t>
            </w:r>
          </w:p>
        </w:tc>
        <w:tc>
          <w:tcPr>
            <w:tcW w:w="2629" w:type="dxa"/>
          </w:tcPr>
          <w:p w:rsidR="0014753B" w:rsidRPr="00E27558" w:rsidRDefault="006441C2" w:rsidP="006441C2">
            <w:pPr>
              <w:jc w:val="center"/>
            </w:pPr>
            <w:r>
              <w:t>по мере поступления</w:t>
            </w:r>
          </w:p>
        </w:tc>
        <w:tc>
          <w:tcPr>
            <w:tcW w:w="2393" w:type="dxa"/>
          </w:tcPr>
          <w:p w:rsidR="0014753B" w:rsidRDefault="0014753B" w:rsidP="00DD32FC">
            <w:pPr>
              <w:pStyle w:val="2"/>
              <w:ind w:left="0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jc w:val="both"/>
            </w:pPr>
            <w:r w:rsidRPr="00E27558">
              <w:t>Продолжить работу по изучению и контролю за безусловным исполнением работниками учреждения нормативных актов, регулирующих антикоррупционное законодательство, постановлений коллегий, протоколов заседаний комиссии по противодействию коррупции в системе Минздрава.</w:t>
            </w:r>
          </w:p>
        </w:tc>
        <w:tc>
          <w:tcPr>
            <w:tcW w:w="2629" w:type="dxa"/>
          </w:tcPr>
          <w:p w:rsidR="00E12564" w:rsidRPr="00E27558" w:rsidRDefault="00E12564" w:rsidP="006D03BB">
            <w:pPr>
              <w:jc w:val="center"/>
            </w:pPr>
            <w:r w:rsidRPr="00E27558">
              <w:t>постоянно</w:t>
            </w: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jc w:val="both"/>
            </w:pPr>
            <w:r w:rsidRPr="00E27558">
              <w:t>Проведение внеплановых заседаний комиссии по противодействию коррупции.</w:t>
            </w:r>
          </w:p>
        </w:tc>
        <w:tc>
          <w:tcPr>
            <w:tcW w:w="2629" w:type="dxa"/>
          </w:tcPr>
          <w:p w:rsidR="00E12564" w:rsidRPr="00E27558" w:rsidRDefault="006441C2" w:rsidP="006441C2">
            <w:pPr>
              <w:jc w:val="center"/>
            </w:pPr>
            <w:r>
              <w:t>п</w:t>
            </w:r>
            <w:r w:rsidR="00E12564" w:rsidRPr="00E27558">
              <w:t>о мере необходимости</w:t>
            </w:r>
          </w:p>
        </w:tc>
        <w:tc>
          <w:tcPr>
            <w:tcW w:w="2393" w:type="dxa"/>
          </w:tcPr>
          <w:p w:rsidR="00E12564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Протоколы:</w:t>
            </w:r>
          </w:p>
          <w:p w:rsidR="00E12564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  <w:p w:rsidR="00E12564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64" w:type="dxa"/>
          </w:tcPr>
          <w:p w:rsidR="00E12564" w:rsidRPr="00E27558" w:rsidRDefault="00E12564" w:rsidP="002409F4">
            <w:pPr>
              <w:jc w:val="both"/>
            </w:pPr>
            <w:r w:rsidRPr="00E27558">
              <w:t xml:space="preserve">Обеспечить контроль за работой инспектора по кадрам по неукоснительному выполнению требований ст. 16 Закона Республики Беларусь «О борьбе с коррупцией» об истребовании письменных обязательств </w:t>
            </w:r>
            <w:r w:rsidRPr="00E27558">
              <w:rPr>
                <w:lang w:eastAsia="en-US"/>
              </w:rPr>
              <w:t xml:space="preserve">по соблюдению ограничений, установленных </w:t>
            </w:r>
            <w:hyperlink r:id="rId5" w:history="1">
              <w:r w:rsidRPr="00E27558">
                <w:rPr>
                  <w:lang w:eastAsia="en-US"/>
                </w:rPr>
                <w:t>статьями 17</w:t>
              </w:r>
            </w:hyperlink>
            <w:r w:rsidRPr="00E27558">
              <w:rPr>
                <w:lang w:eastAsia="en-US"/>
              </w:rPr>
              <w:t xml:space="preserve"> - </w:t>
            </w:r>
            <w:hyperlink r:id="rId6" w:history="1">
              <w:r w:rsidRPr="00E27558">
                <w:rPr>
                  <w:lang w:eastAsia="en-US"/>
                </w:rPr>
                <w:t>20</w:t>
              </w:r>
            </w:hyperlink>
            <w:r w:rsidRPr="00E27558">
              <w:rPr>
                <w:lang w:eastAsia="en-US"/>
              </w:rPr>
              <w:t xml:space="preserve"> настоящего Закона</w:t>
            </w:r>
            <w:r w:rsidRPr="00E27558">
              <w:t xml:space="preserve"> у должностных лиц Лельчицкого районного ЦГЭ,  </w:t>
            </w:r>
            <w:r w:rsidRPr="002409F4">
              <w:t xml:space="preserve">утвержденных приказом от </w:t>
            </w:r>
            <w:r w:rsidR="002409F4" w:rsidRPr="002409F4">
              <w:t>15.04.2021</w:t>
            </w:r>
            <w:r w:rsidRPr="002409F4">
              <w:t xml:space="preserve"> № </w:t>
            </w:r>
            <w:r w:rsidR="002409F4" w:rsidRPr="002409F4">
              <w:t>46</w:t>
            </w:r>
            <w:r w:rsidRPr="002409F4">
              <w:t>-0.</w:t>
            </w:r>
          </w:p>
        </w:tc>
        <w:tc>
          <w:tcPr>
            <w:tcW w:w="2629" w:type="dxa"/>
          </w:tcPr>
          <w:p w:rsidR="00E12564" w:rsidRPr="00E27558" w:rsidRDefault="00E12564" w:rsidP="006D03BB">
            <w:pPr>
              <w:jc w:val="center"/>
            </w:pPr>
            <w:r w:rsidRPr="00E27558">
              <w:t>постоянно</w:t>
            </w: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autoSpaceDE w:val="0"/>
              <w:autoSpaceDN w:val="0"/>
              <w:adjustRightInd w:val="0"/>
              <w:jc w:val="both"/>
            </w:pPr>
            <w:r w:rsidRPr="00E27558">
              <w:t>Осуществлять обзор публикаций, касающихся коррупции, в СМИ, интернете, анализировать, обобщать и освещать данную информацию среди сотрудников Лельчицкого районного ЦГЭ.</w:t>
            </w:r>
          </w:p>
        </w:tc>
        <w:tc>
          <w:tcPr>
            <w:tcW w:w="2629" w:type="dxa"/>
          </w:tcPr>
          <w:p w:rsidR="00E12564" w:rsidRPr="00E27558" w:rsidRDefault="00E12564" w:rsidP="006D03BB">
            <w:pPr>
              <w:jc w:val="center"/>
            </w:pPr>
            <w:r w:rsidRPr="00E27558">
              <w:t>постоянно</w:t>
            </w: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autoSpaceDE w:val="0"/>
              <w:autoSpaceDN w:val="0"/>
              <w:adjustRightInd w:val="0"/>
              <w:jc w:val="both"/>
            </w:pPr>
            <w:r w:rsidRPr="00E27558">
              <w:t>Рассмотрение вопросов антикоррупционного законодательства на планерных совещаниях при главном государственном санитарном враче Лельчицкого района</w:t>
            </w:r>
          </w:p>
        </w:tc>
        <w:tc>
          <w:tcPr>
            <w:tcW w:w="2629" w:type="dxa"/>
          </w:tcPr>
          <w:p w:rsidR="00E12564" w:rsidRPr="00E27558" w:rsidRDefault="00CC266B" w:rsidP="00CC266B">
            <w:pPr>
              <w:jc w:val="center"/>
            </w:pPr>
            <w:r>
              <w:t>н</w:t>
            </w:r>
            <w:r w:rsidR="00E12564" w:rsidRPr="00E27558">
              <w:t>е реже 1 раза в квартал</w:t>
            </w: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jc w:val="both"/>
            </w:pPr>
            <w:r w:rsidRPr="00E27558">
              <w:t xml:space="preserve">Проведение анализа обращений граждан и юридических лиц. </w:t>
            </w:r>
          </w:p>
          <w:p w:rsidR="00E12564" w:rsidRPr="00E27558" w:rsidRDefault="00E12564" w:rsidP="006D03BB">
            <w:pPr>
              <w:jc w:val="both"/>
            </w:pPr>
            <w:r w:rsidRPr="00E27558">
              <w:t>Обеспечить особый контроль за качеством рассмотрения обращений, содержащих информацию, о фактах коррупционных проявлений в Лельчицком районном ЦГЭ, нарушениях трудовой и исполнительской дисциплины, превышения полномочий со стороны сотрудников Лельчицкого районного ЦГЭ.</w:t>
            </w:r>
          </w:p>
        </w:tc>
        <w:tc>
          <w:tcPr>
            <w:tcW w:w="2629" w:type="dxa"/>
          </w:tcPr>
          <w:p w:rsidR="00E12564" w:rsidRPr="00E27558" w:rsidRDefault="00E12564" w:rsidP="006D03BB">
            <w:pPr>
              <w:jc w:val="center"/>
            </w:pPr>
            <w:r w:rsidRPr="00E27558">
              <w:t>Ежеквартально</w:t>
            </w:r>
          </w:p>
          <w:p w:rsidR="00E12564" w:rsidRPr="00E27558" w:rsidRDefault="00E12564" w:rsidP="006D03BB">
            <w:pPr>
              <w:jc w:val="center"/>
            </w:pPr>
          </w:p>
          <w:p w:rsidR="00E12564" w:rsidRPr="00E27558" w:rsidRDefault="00E12564" w:rsidP="006D03BB">
            <w:pPr>
              <w:jc w:val="center"/>
            </w:pPr>
            <w:r w:rsidRPr="00E27558">
              <w:t>постоянно</w:t>
            </w: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pStyle w:val="newncpi"/>
              <w:ind w:firstLine="0"/>
            </w:pPr>
            <w:r w:rsidRPr="00E27558">
              <w:t>Каждый случай совершения коррупционного правонарушения подвергнуть детальному анализу, с последующим принятием мер по недопущению аналогичных случаев.</w:t>
            </w:r>
          </w:p>
        </w:tc>
        <w:tc>
          <w:tcPr>
            <w:tcW w:w="2629" w:type="dxa"/>
          </w:tcPr>
          <w:p w:rsidR="00E12564" w:rsidRPr="00E27558" w:rsidRDefault="00E12564" w:rsidP="006D03BB">
            <w:pPr>
              <w:jc w:val="center"/>
            </w:pPr>
            <w:r w:rsidRPr="00E27558">
              <w:t>постоянно</w:t>
            </w: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jc w:val="both"/>
            </w:pPr>
            <w:r w:rsidRPr="00E27558">
              <w:t>Организовать проведение встреч работников Лельчицкого районного ЦГЭ с представителем прокуратуры по вопросу профилактики коррупционных правонарушений.</w:t>
            </w:r>
          </w:p>
        </w:tc>
        <w:tc>
          <w:tcPr>
            <w:tcW w:w="2629" w:type="dxa"/>
          </w:tcPr>
          <w:p w:rsidR="00E12564" w:rsidRPr="00E27558" w:rsidRDefault="00CC266B" w:rsidP="006D03BB">
            <w:pPr>
              <w:jc w:val="center"/>
            </w:pPr>
            <w:r>
              <w:t>н</w:t>
            </w:r>
            <w:r w:rsidR="00E12564" w:rsidRPr="00E27558">
              <w:t>е реже 2 раза в год</w:t>
            </w:r>
          </w:p>
          <w:p w:rsidR="00E12564" w:rsidRPr="00E27558" w:rsidRDefault="00E12564" w:rsidP="006D03BB">
            <w:pPr>
              <w:jc w:val="center"/>
            </w:pP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jc w:val="both"/>
            </w:pPr>
            <w:r w:rsidRPr="00E27558">
              <w:t xml:space="preserve">Обеспечить прозрачность и законность при проведении процедур государственных закупок с целью снижения коррупционных рисков. </w:t>
            </w:r>
          </w:p>
        </w:tc>
        <w:tc>
          <w:tcPr>
            <w:tcW w:w="2629" w:type="dxa"/>
          </w:tcPr>
          <w:p w:rsidR="00E12564" w:rsidRPr="00E27558" w:rsidRDefault="00E12564" w:rsidP="006D03BB">
            <w:pPr>
              <w:jc w:val="center"/>
            </w:pPr>
            <w:r w:rsidRPr="00E27558">
              <w:t>постоянно</w:t>
            </w: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8E3FE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jc w:val="both"/>
            </w:pPr>
            <w:r w:rsidRPr="00E27558">
              <w:t xml:space="preserve">Обеспечить выполнение </w:t>
            </w:r>
            <w:r w:rsidRPr="00E27558">
              <w:rPr>
                <w:color w:val="000000"/>
              </w:rPr>
              <w:t xml:space="preserve">Директивы Президента Республики Беларусь </w:t>
            </w:r>
            <w:r w:rsidRPr="00E27558">
              <w:rPr>
                <w:color w:val="000000"/>
                <w:spacing w:val="-2"/>
              </w:rPr>
              <w:t>от 11</w:t>
            </w:r>
            <w:r>
              <w:rPr>
                <w:color w:val="000000"/>
                <w:spacing w:val="-2"/>
              </w:rPr>
              <w:t xml:space="preserve">.03.2004 </w:t>
            </w:r>
            <w:r w:rsidRPr="00E27558">
              <w:rPr>
                <w:color w:val="000000"/>
                <w:spacing w:val="-2"/>
              </w:rPr>
              <w:t xml:space="preserve"> №</w:t>
            </w:r>
            <w:r>
              <w:rPr>
                <w:color w:val="000000"/>
                <w:spacing w:val="-2"/>
              </w:rPr>
              <w:t xml:space="preserve"> </w:t>
            </w:r>
            <w:r w:rsidRPr="00E27558">
              <w:rPr>
                <w:color w:val="000000"/>
                <w:spacing w:val="-2"/>
              </w:rPr>
              <w:t xml:space="preserve">1 «О мерах по укреплению общественной </w:t>
            </w:r>
            <w:r w:rsidRPr="00E27558">
              <w:rPr>
                <w:color w:val="000000"/>
              </w:rPr>
              <w:t>безопасности и дисциплины»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2629" w:type="dxa"/>
          </w:tcPr>
          <w:p w:rsidR="00E12564" w:rsidRPr="00E27558" w:rsidRDefault="00E12564" w:rsidP="006D03BB">
            <w:pPr>
              <w:jc w:val="center"/>
            </w:pPr>
            <w:r w:rsidRPr="00E27558">
              <w:t>постоянно</w:t>
            </w: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CC266B" w:rsidTr="00DD32FC">
        <w:tc>
          <w:tcPr>
            <w:tcW w:w="656" w:type="dxa"/>
          </w:tcPr>
          <w:p w:rsidR="00CC266B" w:rsidRDefault="00CC266B" w:rsidP="00CC266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64" w:type="dxa"/>
          </w:tcPr>
          <w:p w:rsidR="00CC266B" w:rsidRPr="00E27558" w:rsidRDefault="00CC266B" w:rsidP="006D03BB">
            <w:pPr>
              <w:jc w:val="both"/>
            </w:pPr>
            <w:r>
              <w:t>Проведение анкетирования по изучению общественного мнения о коррупции, сферах ее распространения и эффективности борьбы с ней в Лельчицком районном ЦГЭ</w:t>
            </w:r>
          </w:p>
        </w:tc>
        <w:tc>
          <w:tcPr>
            <w:tcW w:w="2629" w:type="dxa"/>
          </w:tcPr>
          <w:p w:rsidR="00CC266B" w:rsidRPr="00E27558" w:rsidRDefault="00CC266B" w:rsidP="00CC266B">
            <w:pPr>
              <w:jc w:val="center"/>
            </w:pPr>
            <w:r>
              <w:t>в течение 2022 года</w:t>
            </w:r>
          </w:p>
        </w:tc>
        <w:tc>
          <w:tcPr>
            <w:tcW w:w="2393" w:type="dxa"/>
          </w:tcPr>
          <w:p w:rsidR="00CC266B" w:rsidRPr="00E27558" w:rsidRDefault="00CC266B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  <w:tr w:rsidR="00E12564" w:rsidTr="00DD32FC">
        <w:tc>
          <w:tcPr>
            <w:tcW w:w="656" w:type="dxa"/>
          </w:tcPr>
          <w:p w:rsidR="00E12564" w:rsidRPr="00E27558" w:rsidRDefault="006441C2" w:rsidP="00CC266B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266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E12564" w:rsidRPr="00E27558" w:rsidRDefault="00E12564" w:rsidP="006D03BB">
            <w:pPr>
              <w:pStyle w:val="newncpi"/>
              <w:ind w:firstLine="0"/>
            </w:pPr>
            <w:r w:rsidRPr="00E27558">
              <w:t>Подведение итогов работы</w:t>
            </w:r>
          </w:p>
        </w:tc>
        <w:tc>
          <w:tcPr>
            <w:tcW w:w="2629" w:type="dxa"/>
          </w:tcPr>
          <w:p w:rsidR="00E12564" w:rsidRPr="00E27558" w:rsidRDefault="00E12564" w:rsidP="006D03BB">
            <w:pPr>
              <w:jc w:val="center"/>
            </w:pPr>
            <w:r w:rsidRPr="00E27558">
              <w:t>декабрь</w:t>
            </w:r>
          </w:p>
        </w:tc>
        <w:tc>
          <w:tcPr>
            <w:tcW w:w="2393" w:type="dxa"/>
          </w:tcPr>
          <w:p w:rsidR="00E12564" w:rsidRPr="00E27558" w:rsidRDefault="00E12564" w:rsidP="008E3FEB">
            <w:pPr>
              <w:pStyle w:val="2"/>
              <w:ind w:left="0"/>
              <w:jc w:val="center"/>
              <w:rPr>
                <w:sz w:val="24"/>
              </w:rPr>
            </w:pPr>
          </w:p>
        </w:tc>
      </w:tr>
    </w:tbl>
    <w:p w:rsidR="00E12564" w:rsidRPr="002A76BF" w:rsidRDefault="00E12564" w:rsidP="008E3FEB">
      <w:pPr>
        <w:pStyle w:val="2"/>
        <w:ind w:left="0"/>
        <w:jc w:val="center"/>
        <w:rPr>
          <w:szCs w:val="28"/>
        </w:rPr>
      </w:pPr>
    </w:p>
    <w:p w:rsidR="00E12564" w:rsidRDefault="00E12564" w:rsidP="00371577">
      <w:pPr>
        <w:rPr>
          <w:sz w:val="28"/>
        </w:rPr>
      </w:pPr>
    </w:p>
    <w:p w:rsidR="00E12564" w:rsidRDefault="00E12564" w:rsidP="00371577">
      <w:pPr>
        <w:rPr>
          <w:sz w:val="28"/>
          <w:szCs w:val="28"/>
        </w:rPr>
      </w:pPr>
    </w:p>
    <w:p w:rsidR="00E12564" w:rsidRPr="00260E0A" w:rsidRDefault="00E12564" w:rsidP="00371577">
      <w:pPr>
        <w:rPr>
          <w:sz w:val="28"/>
          <w:szCs w:val="28"/>
        </w:rPr>
      </w:pPr>
      <w:r w:rsidRPr="00260E0A">
        <w:rPr>
          <w:sz w:val="28"/>
          <w:szCs w:val="28"/>
        </w:rPr>
        <w:t>Секретарь комиссии</w:t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>
        <w:rPr>
          <w:sz w:val="28"/>
          <w:szCs w:val="28"/>
        </w:rPr>
        <w:t>Л.В.</w:t>
      </w:r>
      <w:r w:rsidR="00621E5E">
        <w:rPr>
          <w:sz w:val="28"/>
          <w:szCs w:val="28"/>
        </w:rPr>
        <w:t xml:space="preserve"> </w:t>
      </w:r>
      <w:r>
        <w:rPr>
          <w:sz w:val="28"/>
          <w:szCs w:val="28"/>
        </w:rPr>
        <w:t>Демьянова</w:t>
      </w:r>
    </w:p>
    <w:sectPr w:rsidR="00E12564" w:rsidRPr="00260E0A" w:rsidSect="006E42A5">
      <w:pgSz w:w="11906" w:h="16838"/>
      <w:pgMar w:top="90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EB"/>
    <w:rsid w:val="0003374D"/>
    <w:rsid w:val="000D0419"/>
    <w:rsid w:val="00144B1C"/>
    <w:rsid w:val="0014753B"/>
    <w:rsid w:val="0020515F"/>
    <w:rsid w:val="00214B0C"/>
    <w:rsid w:val="00233869"/>
    <w:rsid w:val="002409F4"/>
    <w:rsid w:val="00260E0A"/>
    <w:rsid w:val="00281C6E"/>
    <w:rsid w:val="002A76BF"/>
    <w:rsid w:val="002B716F"/>
    <w:rsid w:val="002F3998"/>
    <w:rsid w:val="002F4723"/>
    <w:rsid w:val="00317234"/>
    <w:rsid w:val="003320AE"/>
    <w:rsid w:val="0034225D"/>
    <w:rsid w:val="00346555"/>
    <w:rsid w:val="00350075"/>
    <w:rsid w:val="003617DD"/>
    <w:rsid w:val="00371577"/>
    <w:rsid w:val="003E6CE4"/>
    <w:rsid w:val="004157D6"/>
    <w:rsid w:val="004242F0"/>
    <w:rsid w:val="00456CC1"/>
    <w:rsid w:val="00475520"/>
    <w:rsid w:val="004B4FE3"/>
    <w:rsid w:val="00500FF7"/>
    <w:rsid w:val="00562C6B"/>
    <w:rsid w:val="0056725F"/>
    <w:rsid w:val="00570119"/>
    <w:rsid w:val="00581BA0"/>
    <w:rsid w:val="0058356B"/>
    <w:rsid w:val="00583D1B"/>
    <w:rsid w:val="005D4ECB"/>
    <w:rsid w:val="00621E5E"/>
    <w:rsid w:val="00632BA7"/>
    <w:rsid w:val="006441C2"/>
    <w:rsid w:val="00646DF9"/>
    <w:rsid w:val="006C5484"/>
    <w:rsid w:val="006D03BB"/>
    <w:rsid w:val="006D5B67"/>
    <w:rsid w:val="006E42A5"/>
    <w:rsid w:val="00700D9E"/>
    <w:rsid w:val="00703358"/>
    <w:rsid w:val="00713A0D"/>
    <w:rsid w:val="007246AD"/>
    <w:rsid w:val="0074592A"/>
    <w:rsid w:val="007E32C9"/>
    <w:rsid w:val="008261B3"/>
    <w:rsid w:val="00846945"/>
    <w:rsid w:val="0086250E"/>
    <w:rsid w:val="00881912"/>
    <w:rsid w:val="008830F3"/>
    <w:rsid w:val="00883862"/>
    <w:rsid w:val="008E3FEB"/>
    <w:rsid w:val="00904504"/>
    <w:rsid w:val="00920B06"/>
    <w:rsid w:val="009221C0"/>
    <w:rsid w:val="00931DC9"/>
    <w:rsid w:val="009C7082"/>
    <w:rsid w:val="00A12E35"/>
    <w:rsid w:val="00A448A7"/>
    <w:rsid w:val="00A7208C"/>
    <w:rsid w:val="00A97CD1"/>
    <w:rsid w:val="00AA151A"/>
    <w:rsid w:val="00AB2081"/>
    <w:rsid w:val="00AC61B0"/>
    <w:rsid w:val="00B63194"/>
    <w:rsid w:val="00B76849"/>
    <w:rsid w:val="00BA2F20"/>
    <w:rsid w:val="00BA4BC8"/>
    <w:rsid w:val="00C0465D"/>
    <w:rsid w:val="00C04AC0"/>
    <w:rsid w:val="00C068D2"/>
    <w:rsid w:val="00C35598"/>
    <w:rsid w:val="00C51C96"/>
    <w:rsid w:val="00C533FB"/>
    <w:rsid w:val="00C830FA"/>
    <w:rsid w:val="00CC0DA0"/>
    <w:rsid w:val="00CC266B"/>
    <w:rsid w:val="00CF15E8"/>
    <w:rsid w:val="00D12F87"/>
    <w:rsid w:val="00D72874"/>
    <w:rsid w:val="00DB740B"/>
    <w:rsid w:val="00DD32FC"/>
    <w:rsid w:val="00DD39FD"/>
    <w:rsid w:val="00E02EA1"/>
    <w:rsid w:val="00E12564"/>
    <w:rsid w:val="00E27558"/>
    <w:rsid w:val="00ED61EB"/>
    <w:rsid w:val="00F70E9A"/>
    <w:rsid w:val="00F968B4"/>
    <w:rsid w:val="00FA321D"/>
    <w:rsid w:val="00FB1019"/>
    <w:rsid w:val="00FC50E9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1053E"/>
  <w15:docId w15:val="{4AB831A3-638A-4250-9B8E-470939A2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F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FEB"/>
    <w:pPr>
      <w:keepNext/>
      <w:ind w:firstLine="45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FE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E3FEB"/>
    <w:pPr>
      <w:ind w:left="45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3FEB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E3FE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8E3FEB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97C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CF0A5A0F60AB798A96A6D8D746310D601EA5035C366E33CA2F77E72FE494F69DF445E0497579AC22B5139C9893t4eCL" TargetMode="External"/><Relationship Id="rId5" Type="http://schemas.openxmlformats.org/officeDocument/2006/relationships/hyperlink" Target="consultantplus://offline/ref=87CF0A5A0F60AB798A96A6D8D746310D601EA5035C366E33CA2F77E72FE494F69DF445E0497579AC22B5139C9895t4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B2A2-E6E3-4222-98DE-06A69F83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Бахметова Ольга Н.</dc:creator>
  <cp:keywords/>
  <dc:description/>
  <cp:lastModifiedBy>Лина</cp:lastModifiedBy>
  <cp:revision>4</cp:revision>
  <cp:lastPrinted>2023-02-10T07:19:00Z</cp:lastPrinted>
  <dcterms:created xsi:type="dcterms:W3CDTF">2023-02-10T07:16:00Z</dcterms:created>
  <dcterms:modified xsi:type="dcterms:W3CDTF">2023-02-10T07:20:00Z</dcterms:modified>
</cp:coreProperties>
</file>